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7" w:name="processo-n.º-202304567"/>
    <w:p>
      <w:pPr>
        <w:pStyle w:val="Heading2"/>
      </w:pPr>
      <w:r>
        <w:t xml:space="preserve">Processo n.º 2023/04567</w:t>
      </w:r>
    </w:p>
    <w:p>
      <w:pPr>
        <w:pStyle w:val="FirstParagraph"/>
      </w:pPr>
      <w:r>
        <w:rPr>
          <w:b/>
          <w:bCs/>
        </w:rPr>
        <w:t xml:space="preserve">Vara de Família e Menores de Lisboa</w:t>
      </w:r>
      <w:r>
        <w:br/>
      </w:r>
      <w:r>
        <w:rPr>
          <w:b/>
          <w:bCs/>
        </w:rPr>
        <w:t xml:space="preserve">Juiz:</w:t>
      </w:r>
      <w:r>
        <w:t xml:space="preserve"> </w:t>
      </w:r>
      <w:r>
        <w:t xml:space="preserve">Dr. António Ribeiro</w:t>
      </w:r>
    </w:p>
    <w:bookmarkStart w:id="9" w:name="alegações-finais-da-parte-autora"/>
    <w:p>
      <w:pPr>
        <w:pStyle w:val="Heading3"/>
      </w:pPr>
      <w:r>
        <w:rPr>
          <w:b/>
          <w:bCs/>
        </w:rPr>
        <w:t xml:space="preserve">Alegações Finais da Parte Autora</w:t>
      </w:r>
    </w:p>
    <w:p>
      <w:pPr>
        <w:pStyle w:val="FirstParagraph"/>
      </w:pPr>
      <w:r>
        <w:rPr>
          <w:b/>
          <w:bCs/>
        </w:rPr>
        <w:t xml:space="preserve">Autor:</w:t>
      </w:r>
      <w:r>
        <w:t xml:space="preserve"> </w:t>
      </w:r>
      <w:r>
        <w:t xml:space="preserve">João Silva, menor, representado por Maria Silva, NIF 224 567 891, residente em Rua da Boavista, 45, 2.º Dto., 1050‑067 Lisboa.</w:t>
      </w:r>
    </w:p>
    <w:p>
      <w:pPr>
        <w:pStyle w:val="BodyText"/>
      </w:pPr>
      <w:r>
        <w:rPr>
          <w:b/>
          <w:bCs/>
        </w:rPr>
        <w:t xml:space="preserve">Réus:</w:t>
      </w:r>
      <w:r>
        <w:br/>
      </w:r>
      <w:r>
        <w:t xml:space="preserve">1.</w:t>
      </w:r>
      <w:r>
        <w:t xml:space="preserve"> </w:t>
      </w:r>
      <w:r>
        <w:rPr>
          <w:b/>
          <w:bCs/>
        </w:rPr>
        <w:t xml:space="preserve">Associação Casa da Juventude, Lda.</w:t>
      </w:r>
      <w:r>
        <w:t xml:space="preserve">, NIF 503 112 334, sede em Avenida da República, 120, 4.º Esq., 1050‑150 Lisboa;</w:t>
      </w:r>
      <w:r>
        <w:br/>
      </w:r>
      <w:r>
        <w:t xml:space="preserve">2.</w:t>
      </w:r>
      <w:r>
        <w:t xml:space="preserve"> </w:t>
      </w:r>
      <w:r>
        <w:rPr>
          <w:b/>
          <w:bCs/>
        </w:rPr>
        <w:t xml:space="preserve">Carlos Mendes</w:t>
      </w:r>
      <w:r>
        <w:t xml:space="preserve">, ex‑diretor da Associação, NIF 221 334 556, residente em Rua de São Bento, 12, 3.º A, 1200‑123 Lisboa.</w:t>
      </w:r>
    </w:p>
    <w:p>
      <w:pPr>
        <w:pStyle w:val="BodyText"/>
      </w:pPr>
      <w:r>
        <w:rPr>
          <w:b/>
          <w:bCs/>
        </w:rPr>
        <w:t xml:space="preserve">Mandatários da Parte Autora:</w:t>
      </w:r>
      <w:r>
        <w:t xml:space="preserve"> </w:t>
      </w:r>
      <w:r>
        <w:t xml:space="preserve">Dr. Luís Costa (OAB/LS 12345) e Dra. Sofia Almeida (OAB/LS 67890).</w:t>
      </w:r>
    </w:p>
    <w:p>
      <w:r>
        <w:pict>
          <v:rect style="width:0;height:1.5pt" o:hralign="center" o:hrstd="t" o:hr="t"/>
        </w:pict>
      </w:r>
    </w:p>
    <w:bookmarkEnd w:id="9"/>
    <w:bookmarkStart w:id="10" w:name="síntese-dos-factos-provados"/>
    <w:p>
      <w:pPr>
        <w:pStyle w:val="Heading3"/>
      </w:pPr>
      <w:r>
        <w:t xml:space="preserve">1. Síntese dos Factos Provados</w:t>
      </w:r>
    </w:p>
    <w:tbl>
      <w:tblPr>
        <w:tblStyle w:val="Table"/>
        <w:tblW w:type="pct" w:w="5000"/>
        <w:tblLayout w:type="fixed"/>
        <w:tblLook w:firstRow="1" w:lastRow="0" w:firstColumn="0" w:lastColumn="0" w:noHBand="0" w:noVBand="0" w:val="0020"/>
      </w:tblPr>
      <w:tblGrid>
        <w:gridCol w:w="880"/>
        <w:gridCol w:w="2053"/>
        <w:gridCol w:w="4986"/>
      </w:tblGrid>
      <w:tr>
        <w:trPr>
          <w:tblHeader w:val="on"/>
        </w:trPr>
        <w:tc>
          <w:tcPr/>
          <w:p>
            <w:pPr>
              <w:pStyle w:val="Compact"/>
            </w:pPr>
            <w:r>
              <w:t xml:space="preserve">Nº</w:t>
            </w:r>
          </w:p>
        </w:tc>
        <w:tc>
          <w:tcPr/>
          <w:p>
            <w:pPr>
              <w:pStyle w:val="Compact"/>
            </w:pPr>
            <w:r>
              <w:t xml:space="preserve">Facto</w:t>
            </w:r>
          </w:p>
        </w:tc>
        <w:tc>
          <w:tcPr/>
          <w:p>
            <w:pPr>
              <w:pStyle w:val="Compact"/>
            </w:pPr>
            <w:r>
              <w:t xml:space="preserve">Prova Produzida</w:t>
            </w:r>
          </w:p>
        </w:tc>
      </w:tr>
      <w:tr>
        <w:tc>
          <w:tcPr/>
          <w:p>
            <w:pPr>
              <w:pStyle w:val="Compact"/>
            </w:pPr>
            <w:r>
              <w:t xml:space="preserve">1</w:t>
            </w:r>
          </w:p>
        </w:tc>
        <w:tc>
          <w:tcPr/>
          <w:p>
            <w:pPr>
              <w:pStyle w:val="Compact"/>
            </w:pPr>
            <w:r>
              <w:t xml:space="preserve">Entre 2015 e 2020, o menor João Silva frequentou a Associação Casa da Juventude, onde foi vítima de abusos sexuais continuados por parte do ex‑diretor Carlos Mendes.</w:t>
            </w:r>
          </w:p>
        </w:tc>
        <w:tc>
          <w:tcPr/>
          <w:p>
            <w:pPr>
              <w:pStyle w:val="Compact"/>
            </w:pPr>
            <w:r>
              <w:t xml:space="preserve">Depoimentos da vítima (fls. 112‑118), declarações de duas testemunhas (fls. 124‑130), relatório pericial psicossocial (fls. 140‑152).</w:t>
            </w:r>
          </w:p>
        </w:tc>
      </w:tr>
      <w:tr>
        <w:tc>
          <w:tcPr/>
          <w:p>
            <w:pPr>
              <w:pStyle w:val="Compact"/>
            </w:pPr>
            <w:r>
              <w:t xml:space="preserve">2</w:t>
            </w:r>
          </w:p>
        </w:tc>
        <w:tc>
          <w:tcPr/>
          <w:p>
            <w:pPr>
              <w:pStyle w:val="Compact"/>
            </w:pPr>
            <w:r>
              <w:t xml:space="preserve">A Associação falhou na obrigação legal de vigilância e proteção, permitindo o acesso irrestrito do réu às instalações e não adotando medidas preventivas adequadas.</w:t>
            </w:r>
          </w:p>
        </w:tc>
        <w:tc>
          <w:tcPr/>
          <w:p>
            <w:pPr>
              <w:pStyle w:val="Compact"/>
            </w:pPr>
            <w:r>
              <w:t xml:space="preserve">Relatório de inspeção da Autoridade de Segurança Social (fls. 158‑165), documentos internos da Associação que demonstram a ausência de protocolos de proteção (fls. 170‑176).</w:t>
            </w:r>
          </w:p>
        </w:tc>
      </w:tr>
      <w:tr>
        <w:tc>
          <w:tcPr/>
          <w:p>
            <w:pPr>
              <w:pStyle w:val="Compact"/>
            </w:pPr>
            <w:r>
              <w:t xml:space="preserve">3</w:t>
            </w:r>
          </w:p>
        </w:tc>
        <w:tc>
          <w:tcPr/>
          <w:p>
            <w:pPr>
              <w:pStyle w:val="Compact"/>
            </w:pPr>
            <w:r>
              <w:t xml:space="preserve">O abuso provocou danos morais graves, transtorno psicológico persistente e prejuízos patrimoniais relacionados com tratamentos psicológicos e terapêuticos.</w:t>
            </w:r>
          </w:p>
        </w:tc>
        <w:tc>
          <w:tcPr/>
          <w:p>
            <w:pPr>
              <w:pStyle w:val="Compact"/>
            </w:pPr>
            <w:r>
              <w:t xml:space="preserve">Faturas de sessões de psicoterapia (fls. 180‑185), laudo médico de incapacidade temporária (fls. 190‑193).</w:t>
            </w:r>
          </w:p>
        </w:tc>
      </w:tr>
      <w:tr>
        <w:tc>
          <w:tcPr/>
          <w:p>
            <w:pPr>
              <w:pStyle w:val="Compact"/>
            </w:pPr>
            <w:r>
              <w:t xml:space="preserve">4</w:t>
            </w:r>
          </w:p>
        </w:tc>
        <w:tc>
          <w:tcPr/>
          <w:p>
            <w:pPr>
              <w:pStyle w:val="Compact"/>
            </w:pPr>
            <w:r>
              <w:t xml:space="preserve">O comportamento de Carlos Mendes constitui crime de abuso sexual de menores (art.º 172.º do CP) e, em conjunto, caracteriza coautoria no delito de omissão de dever legal de vigilância (art.º 173.º do CP).</w:t>
            </w:r>
          </w:p>
        </w:tc>
        <w:tc>
          <w:tcPr/>
          <w:p>
            <w:pPr>
              <w:pStyle w:val="Compact"/>
            </w:pPr>
            <w:r>
              <w:t xml:space="preserve">Sentença de condenação criminal anterior (processo n.º 2021/0987/CR) e relatório pericial criminal (fls. 200‑210).</w:t>
            </w:r>
          </w:p>
        </w:tc>
      </w:tr>
    </w:tbl>
    <w:p>
      <w:r>
        <w:pict>
          <v:rect style="width:0;height:1.5pt" o:hralign="center" o:hrstd="t" o:hr="t"/>
        </w:pict>
      </w:r>
    </w:p>
    <w:bookmarkEnd w:id="10"/>
    <w:bookmarkStart w:id="14" w:name="fundamentação-jurídica"/>
    <w:p>
      <w:pPr>
        <w:pStyle w:val="Heading3"/>
      </w:pPr>
      <w:r>
        <w:t xml:space="preserve">2. Fundamentação Jurídica</w:t>
      </w:r>
    </w:p>
    <w:bookmarkStart w:id="11" w:name="responsabilidade-civil-da-associação"/>
    <w:p>
      <w:pPr>
        <w:pStyle w:val="Heading4"/>
      </w:pPr>
      <w:r>
        <w:t xml:space="preserve">2.1 Responsabilidade Civil da Associação</w:t>
      </w:r>
    </w:p>
    <w:p>
      <w:pPr>
        <w:numPr>
          <w:ilvl w:val="0"/>
          <w:numId w:val="1001"/>
        </w:numPr>
      </w:pPr>
      <w:r>
        <w:rPr>
          <w:b/>
          <w:bCs/>
        </w:rPr>
        <w:t xml:space="preserve">Obrigação de vigilância</w:t>
      </w:r>
      <w:r>
        <w:t xml:space="preserve"> </w:t>
      </w:r>
      <w:r>
        <w:t xml:space="preserve">– Nos termos do art.º 483.º do Código Civil, o titular de estabelecimento de apoio a menores tem o dever de garantir a segurança dos utilizadores. A ausência de protocolos de prevenção e a falta de formação do pessoal constituem violação grave desta obrigação, gerando responsabilidade civil extracontratual.</w:t>
      </w:r>
    </w:p>
    <w:p>
      <w:pPr>
        <w:numPr>
          <w:ilvl w:val="0"/>
          <w:numId w:val="1001"/>
        </w:numPr>
      </w:pPr>
      <w:r>
        <w:rPr>
          <w:b/>
          <w:bCs/>
        </w:rPr>
        <w:t xml:space="preserve">Dano moral</w:t>
      </w:r>
      <w:r>
        <w:t xml:space="preserve"> </w:t>
      </w:r>
      <w:r>
        <w:t xml:space="preserve">– O art.º 483.º, n.º 2, prevê indemnização por dano moral quando a conduta do responsável causa sofrimento psíquico grave. O relatório pericial psicossocial conclui que o menor apresenta Transtorno de Stress Pós‑Traumático (TSPT) de grau moderado, corroborado por laudo médico (fls. 190‑193).</w:t>
      </w:r>
    </w:p>
    <w:p>
      <w:pPr>
        <w:numPr>
          <w:ilvl w:val="0"/>
          <w:numId w:val="1001"/>
        </w:numPr>
      </w:pPr>
      <w:r>
        <w:rPr>
          <w:b/>
          <w:bCs/>
        </w:rPr>
        <w:t xml:space="preserve">Dano patrimonial</w:t>
      </w:r>
      <w:r>
        <w:t xml:space="preserve"> </w:t>
      </w:r>
      <w:r>
        <w:t xml:space="preserve">– Os gastos com terapia psicológica (total de</w:t>
      </w:r>
      <w:r>
        <w:t xml:space="preserve"> </w:t>
      </w:r>
      <w:r>
        <w:rPr>
          <w:b/>
          <w:bCs/>
        </w:rPr>
        <w:t xml:space="preserve">€ 4 560,00</w:t>
      </w:r>
      <w:r>
        <w:t xml:space="preserve">) e com exames complementares (total de</w:t>
      </w:r>
      <w:r>
        <w:t xml:space="preserve"> </w:t>
      </w:r>
      <w:r>
        <w:rPr>
          <w:b/>
          <w:bCs/>
        </w:rPr>
        <w:t xml:space="preserve">€ 1 200,00</w:t>
      </w:r>
      <w:r>
        <w:t xml:space="preserve">) são comprovados por faturas anexas (fls. 180‑185). A soma total dos prejuízos patrimoniais ascendentes a</w:t>
      </w:r>
      <w:r>
        <w:t xml:space="preserve"> </w:t>
      </w:r>
      <w:r>
        <w:rPr>
          <w:b/>
          <w:bCs/>
        </w:rPr>
        <w:t xml:space="preserve">€ 5 760,00</w:t>
      </w:r>
      <w:r>
        <w:t xml:space="preserve"> </w:t>
      </w:r>
      <w:r>
        <w:t xml:space="preserve">deve ser integralmente reparada.</w:t>
      </w:r>
    </w:p>
    <w:bookmarkEnd w:id="11"/>
    <w:bookmarkStart w:id="12" w:name="responsabilidade-penal-de-carlos-mendes"/>
    <w:p>
      <w:pPr>
        <w:pStyle w:val="Heading4"/>
      </w:pPr>
      <w:r>
        <w:t xml:space="preserve">2.2 Responsabilidade Penal de Carlos Mendes</w:t>
      </w:r>
    </w:p>
    <w:p>
      <w:pPr>
        <w:numPr>
          <w:ilvl w:val="0"/>
          <w:numId w:val="1002"/>
        </w:numPr>
      </w:pPr>
      <w:r>
        <w:rPr>
          <w:b/>
          <w:bCs/>
        </w:rPr>
        <w:t xml:space="preserve">Abuso sexual de menores</w:t>
      </w:r>
      <w:r>
        <w:t xml:space="preserve"> </w:t>
      </w:r>
      <w:r>
        <w:t xml:space="preserve">– O art.º 172.º do Código Penal tipifica a conduta de Carlos Mendes como crime de abuso sexual continuado, punível com pena de prisão de 3 a 10 anos. O conjunto probatório (depoimentos, relatórios periciais e sentença criminal anterior) demonstra a materialidade e a autoria do delito.</w:t>
      </w:r>
    </w:p>
    <w:p>
      <w:pPr>
        <w:numPr>
          <w:ilvl w:val="0"/>
          <w:numId w:val="1002"/>
        </w:numPr>
      </w:pPr>
      <w:r>
        <w:rPr>
          <w:b/>
          <w:bCs/>
        </w:rPr>
        <w:t xml:space="preserve">Coautoria por omissão</w:t>
      </w:r>
      <w:r>
        <w:t xml:space="preserve"> </w:t>
      </w:r>
      <w:r>
        <w:t xml:space="preserve">– Nos termos do art.º 173.º do CP, a pessoa que, tendo o dever legal de proteger o menor, omite‑se deliberadamente, responde como coautor. A Associação, enquanto pessoa coletiva, deve ser condenada à responsabilidade penal subsidiária, nos termos do art.º 31.º do CP.</w:t>
      </w:r>
    </w:p>
    <w:bookmarkEnd w:id="12"/>
    <w:bookmarkStart w:id="13" w:name="tutela-de-urgência"/>
    <w:p>
      <w:pPr>
        <w:pStyle w:val="Heading4"/>
      </w:pPr>
      <w:r>
        <w:t xml:space="preserve">2.3 Tutela de Urgência</w:t>
      </w:r>
    </w:p>
    <w:p>
      <w:pPr>
        <w:pStyle w:val="Compact"/>
        <w:numPr>
          <w:ilvl w:val="0"/>
          <w:numId w:val="1003"/>
        </w:numPr>
      </w:pPr>
      <w:r>
        <w:t xml:space="preserve">O pedido de tutela de urgência, formulado em 12 de janeiro de 2024, foi parcialmente deferido (fls. 95‑98), impondo à Associação a suspensão imediata de todas as atividades dirigidas a menores até decisão final. Este despacho demonstra a gravidade reconhecida pelo tribunal e reforça a necessidade de condenação definitiva.</w:t>
      </w:r>
    </w:p>
    <w:p>
      <w:r>
        <w:pict>
          <v:rect style="width:0;height:1.5pt" o:hralign="center" o:hrstd="t" o:hr="t"/>
        </w:pict>
      </w:r>
    </w:p>
    <w:bookmarkEnd w:id="13"/>
    <w:bookmarkEnd w:id="14"/>
    <w:bookmarkStart w:id="15" w:name="pedidos"/>
    <w:p>
      <w:pPr>
        <w:pStyle w:val="Heading3"/>
      </w:pPr>
      <w:r>
        <w:t xml:space="preserve">3. Pedidos</w:t>
      </w:r>
    </w:p>
    <w:p>
      <w:pPr>
        <w:pStyle w:val="FirstParagraph"/>
      </w:pPr>
      <w:r>
        <w:t xml:space="preserve">Face ao exposto, a Parte Autora requer a V. Exa. que se digne a:</w:t>
      </w:r>
    </w:p>
    <w:tbl>
      <w:tblPr>
        <w:tblStyle w:val="Table"/>
        <w:tblW w:type="pct" w:w="5000"/>
        <w:tblLayout w:type="fixed"/>
        <w:tblLook w:firstRow="1" w:lastRow="0" w:firstColumn="0" w:lastColumn="0" w:noHBand="0" w:noVBand="0" w:val="0020"/>
      </w:tblPr>
      <w:tblGrid>
        <w:gridCol w:w="880"/>
        <w:gridCol w:w="2346"/>
        <w:gridCol w:w="4693"/>
      </w:tblGrid>
      <w:tr>
        <w:trPr>
          <w:tblHeader w:val="on"/>
        </w:trPr>
        <w:tc>
          <w:tcPr/>
          <w:p>
            <w:pPr>
              <w:pStyle w:val="Compact"/>
            </w:pPr>
            <w:r>
              <w:t xml:space="preserve">Nº</w:t>
            </w:r>
          </w:p>
        </w:tc>
        <w:tc>
          <w:tcPr/>
          <w:p>
            <w:pPr>
              <w:pStyle w:val="Compact"/>
            </w:pPr>
            <w:r>
              <w:t xml:space="preserve">Pedido</w:t>
            </w:r>
          </w:p>
        </w:tc>
        <w:tc>
          <w:tcPr/>
          <w:p>
            <w:pPr>
              <w:pStyle w:val="Compact"/>
            </w:pPr>
            <w:r>
              <w:t xml:space="preserve">Fundamentação</w:t>
            </w:r>
          </w:p>
        </w:tc>
      </w:tr>
      <w:tr>
        <w:tc>
          <w:tcPr/>
          <w:p>
            <w:pPr>
              <w:pStyle w:val="Compact"/>
            </w:pPr>
            <w:r>
              <w:t xml:space="preserve">1</w:t>
            </w:r>
          </w:p>
        </w:tc>
        <w:tc>
          <w:tcPr/>
          <w:p>
            <w:pPr>
              <w:pStyle w:val="Compact"/>
            </w:pPr>
            <w:r>
              <w:rPr>
                <w:b/>
                <w:bCs/>
              </w:rPr>
              <w:t xml:space="preserve">Condenar a Associação Casa da Juventude, Lda.</w:t>
            </w:r>
            <w:r>
              <w:t xml:space="preserve"> </w:t>
            </w:r>
            <w:r>
              <w:t xml:space="preserve">ao pagamento de indemnização por danos morais no valor de</w:t>
            </w:r>
            <w:r>
              <w:t xml:space="preserve"> </w:t>
            </w:r>
            <w:r>
              <w:rPr>
                <w:b/>
                <w:bCs/>
              </w:rPr>
              <w:t xml:space="preserve">€ 120 000,00</w:t>
            </w:r>
            <w:r>
              <w:t xml:space="preserve"> </w:t>
            </w:r>
            <w:r>
              <w:t xml:space="preserve">(cento e vinte mil euros), valor que corresponde à gravidade do sofrimento psicológico suportado pelo menor e à jurisprudência do Supremo Tribunal de Justiça (Acórdão 123/21.4T8LSB).</w:t>
            </w:r>
          </w:p>
        </w:tc>
        <w:tc>
          <w:tcPr/>
          <w:p>
            <w:pPr>
              <w:pStyle w:val="Compact"/>
            </w:pPr>
            <w:r>
              <w:t xml:space="preserve">Art.º 483.º, n.º 2, CC; jurisprudência consolidada.</w:t>
            </w:r>
          </w:p>
        </w:tc>
      </w:tr>
      <w:tr>
        <w:tc>
          <w:tcPr/>
          <w:p>
            <w:pPr>
              <w:pStyle w:val="Compact"/>
            </w:pPr>
            <w:r>
              <w:t xml:space="preserve">2</w:t>
            </w:r>
          </w:p>
        </w:tc>
        <w:tc>
          <w:tcPr/>
          <w:p>
            <w:pPr>
              <w:pStyle w:val="Compact"/>
            </w:pPr>
            <w:r>
              <w:rPr>
                <w:b/>
                <w:bCs/>
              </w:rPr>
              <w:t xml:space="preserve">Condenar a Associação</w:t>
            </w:r>
            <w:r>
              <w:t xml:space="preserve"> </w:t>
            </w:r>
            <w:r>
              <w:t xml:space="preserve">ao ressarcimento integral dos danos patrimoniais, totalizando</w:t>
            </w:r>
            <w:r>
              <w:t xml:space="preserve"> </w:t>
            </w:r>
            <w:r>
              <w:rPr>
                <w:b/>
                <w:bCs/>
              </w:rPr>
              <w:t xml:space="preserve">€ 5 760,00</w:t>
            </w:r>
            <w:r>
              <w:t xml:space="preserve">.</w:t>
            </w:r>
          </w:p>
        </w:tc>
        <w:tc>
          <w:tcPr/>
          <w:p>
            <w:pPr>
              <w:pStyle w:val="Compact"/>
            </w:pPr>
            <w:r>
              <w:t xml:space="preserve">Art.º 483.º, n.º 1, CC.</w:t>
            </w:r>
          </w:p>
        </w:tc>
      </w:tr>
      <w:tr>
        <w:tc>
          <w:tcPr/>
          <w:p>
            <w:pPr>
              <w:pStyle w:val="Compact"/>
            </w:pPr>
            <w:r>
              <w:t xml:space="preserve">3</w:t>
            </w:r>
          </w:p>
        </w:tc>
        <w:tc>
          <w:tcPr/>
          <w:p>
            <w:pPr>
              <w:pStyle w:val="Compact"/>
            </w:pPr>
            <w:r>
              <w:rPr>
                <w:b/>
                <w:bCs/>
              </w:rPr>
              <w:t xml:space="preserve">Condenar Carlos Mendes</w:t>
            </w:r>
            <w:r>
              <w:t xml:space="preserve"> </w:t>
            </w:r>
            <w:r>
              <w:t xml:space="preserve">à pena de prisão efetiva de</w:t>
            </w:r>
            <w:r>
              <w:t xml:space="preserve"> </w:t>
            </w:r>
            <w:r>
              <w:rPr>
                <w:b/>
                <w:bCs/>
              </w:rPr>
              <w:t xml:space="preserve">7 (sete) anos</w:t>
            </w:r>
            <w:r>
              <w:t xml:space="preserve">, nos termos do art.º 172.º do CP, e ao pagamento de</w:t>
            </w:r>
            <w:r>
              <w:t xml:space="preserve"> </w:t>
            </w:r>
            <w:r>
              <w:rPr>
                <w:b/>
                <w:bCs/>
              </w:rPr>
              <w:t xml:space="preserve">€ 30 000,00</w:t>
            </w:r>
            <w:r>
              <w:t xml:space="preserve"> </w:t>
            </w:r>
            <w:r>
              <w:t xml:space="preserve">a título de indemnização civil substituta, nos termos do art.º 31.º, n.º 2, do CP.</w:t>
            </w:r>
          </w:p>
        </w:tc>
        <w:tc>
          <w:tcPr/>
          <w:p>
            <w:pPr>
              <w:pStyle w:val="Compact"/>
            </w:pPr>
            <w:r>
              <w:t xml:space="preserve">Art.º 172.º e art.º 31.º, CP.</w:t>
            </w:r>
          </w:p>
        </w:tc>
      </w:tr>
      <w:tr>
        <w:tc>
          <w:tcPr/>
          <w:p>
            <w:pPr>
              <w:pStyle w:val="Compact"/>
            </w:pPr>
            <w:r>
              <w:t xml:space="preserve">4</w:t>
            </w:r>
          </w:p>
        </w:tc>
        <w:tc>
          <w:tcPr/>
          <w:p>
            <w:pPr>
              <w:pStyle w:val="Compact"/>
            </w:pPr>
            <w:r>
              <w:rPr>
                <w:b/>
                <w:bCs/>
              </w:rPr>
              <w:t xml:space="preserve">Impor à Associação</w:t>
            </w:r>
            <w:r>
              <w:t xml:space="preserve"> </w:t>
            </w:r>
            <w:r>
              <w:t xml:space="preserve">a obrigação de publicar, nos meios de comunicação social locais (Lisboa, Porto e Coimbra), a sua responsabilidade civil e penal, por um período mínimo de 12 (doze) meses, como medida de prevenção e reparação social.</w:t>
            </w:r>
          </w:p>
        </w:tc>
        <w:tc>
          <w:tcPr/>
          <w:p>
            <w:pPr>
              <w:pStyle w:val="Compact"/>
            </w:pPr>
            <w:r>
              <w:t xml:space="preserve">Art.º 483.º, n.º 3, CC.</w:t>
            </w:r>
          </w:p>
        </w:tc>
      </w:tr>
      <w:tr>
        <w:tc>
          <w:tcPr/>
          <w:p>
            <w:pPr>
              <w:pStyle w:val="Compact"/>
            </w:pPr>
            <w:r>
              <w:t xml:space="preserve">5</w:t>
            </w:r>
          </w:p>
        </w:tc>
        <w:tc>
          <w:tcPr/>
          <w:p>
            <w:pPr>
              <w:pStyle w:val="Compact"/>
            </w:pPr>
            <w:r>
              <w:rPr>
                <w:b/>
                <w:bCs/>
              </w:rPr>
              <w:t xml:space="preserve">Arbitrar as custas processuais</w:t>
            </w:r>
            <w:r>
              <w:t xml:space="preserve"> </w:t>
            </w:r>
            <w:r>
              <w:t xml:space="preserve">e os honorários de sucursais em favor da Parte Autora, nos termos do art.º 84.º do CPC.</w:t>
            </w:r>
          </w:p>
        </w:tc>
        <w:tc>
          <w:tcPr/>
          <w:p>
            <w:pPr>
              <w:pStyle w:val="Compact"/>
            </w:pPr>
            <w:r>
              <w:t xml:space="preserve">Art.º 84.º, CPC.</w:t>
            </w:r>
          </w:p>
        </w:tc>
      </w:tr>
      <w:tr>
        <w:tc>
          <w:tcPr/>
          <w:p>
            <w:pPr>
              <w:pStyle w:val="Compact"/>
            </w:pPr>
            <w:r>
              <w:t xml:space="preserve">6</w:t>
            </w:r>
          </w:p>
        </w:tc>
        <w:tc>
          <w:tcPr/>
          <w:p>
            <w:pPr>
              <w:pStyle w:val="Compact"/>
            </w:pPr>
            <w:r>
              <w:rPr>
                <w:b/>
                <w:bCs/>
              </w:rPr>
              <w:t xml:space="preserve">Manter a tutela de urgência</w:t>
            </w:r>
            <w:r>
              <w:t xml:space="preserve"> </w:t>
            </w:r>
            <w:r>
              <w:t xml:space="preserve">já concedida, garantindo a suspensão de todas as actividades da Associação que impliquem menores, até ao cumprimento integral das condenações acima referidas.</w:t>
            </w:r>
          </w:p>
        </w:tc>
        <w:tc>
          <w:tcPr/>
          <w:p>
            <w:pPr>
              <w:pStyle w:val="Compact"/>
            </w:pPr>
            <w:r>
              <w:t xml:space="preserve">Decisão de tutela de urgência (fls. 95‑98).</w:t>
            </w:r>
          </w:p>
        </w:tc>
      </w:tr>
    </w:tbl>
    <w:p>
      <w:r>
        <w:pict>
          <v:rect style="width:0;height:1.5pt" o:hralign="center" o:hrstd="t" o:hr="t"/>
        </w:pict>
      </w:r>
    </w:p>
    <w:bookmarkEnd w:id="15"/>
    <w:bookmarkStart w:id="16" w:name="conclusão"/>
    <w:p>
      <w:pPr>
        <w:pStyle w:val="Heading3"/>
      </w:pPr>
      <w:r>
        <w:t xml:space="preserve">4. Conclusão</w:t>
      </w:r>
    </w:p>
    <w:p>
      <w:pPr>
        <w:pStyle w:val="FirstParagraph"/>
      </w:pPr>
      <w:r>
        <w:t xml:space="preserve">A prova produzida ao longo da instrução demonstra, de forma inequívoca, a responsabilidade civil e penal da Associação Casa da Juventude, Lda., bem como a culpabilidade pessoal de Carlos Mendes pelos abusos sexuais cometidos contra o menor João Silva. A jurisprudência nacional e os princípios de proteção do menor reforçam a necessidade de uma decisão condenatória que assegure a reparação integral dos danos sofridos e a prevenção de novos ilícitos.</w:t>
      </w:r>
    </w:p>
    <w:p>
      <w:pPr>
        <w:pStyle w:val="BodyText"/>
      </w:pPr>
      <w:r>
        <w:t xml:space="preserve">Pelo exposto, a Parte Autora requer a total procedência dos pedidos constantes da presente petição, nos termos acima delineados, com a consequente condenação dos Réus ao pagamento das indemnizações, penas e medidas de tutela solicitadas.</w:t>
      </w:r>
    </w:p>
    <w:p>
      <w:pPr>
        <w:pStyle w:val="BodyText"/>
      </w:pPr>
      <w:r>
        <w:t xml:space="preserve">Lisboa, 20 de fevereiro de 2026</w:t>
      </w:r>
    </w:p>
    <w:p>
      <w:pPr>
        <w:pStyle w:val="BodyText"/>
      </w:pPr>
      <w:r>
        <w:rPr>
          <w:b/>
          <w:bCs/>
        </w:rPr>
        <w:t xml:space="preserve">Dr. Luís Costa</w:t>
      </w:r>
      <w:r>
        <w:br/>
      </w:r>
      <w:r>
        <w:t xml:space="preserve">OAB/LS 12345</w:t>
      </w:r>
    </w:p>
    <w:p>
      <w:pPr>
        <w:pStyle w:val="BodyText"/>
      </w:pPr>
      <w:r>
        <w:rPr>
          <w:b/>
          <w:bCs/>
        </w:rPr>
        <w:t xml:space="preserve">Dra. Sofia Almeida</w:t>
      </w:r>
      <w:r>
        <w:br/>
      </w:r>
      <w:r>
        <w:t xml:space="preserve">OAB/LS 67890</w:t>
      </w:r>
    </w:p>
    <w:p>
      <w:pPr>
        <w:pStyle w:val="BodyText"/>
      </w:pPr>
      <w:r>
        <w:rPr>
          <w:i/>
          <w:iCs/>
        </w:rPr>
        <w:t xml:space="preserve">Mandatários da Parte Autora</w:t>
      </w:r>
    </w:p>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2026-02-22T18:44:07Z</dcterms:created>
  <dcterms:modified xsi:type="dcterms:W3CDTF">2026-02-22T18:44:07Z</dcterms:modified>
</cp:coreProperties>
</file>

<file path=docProps/custom.xml><?xml version="1.0" encoding="utf-8"?>
<Properties xmlns="http://schemas.openxmlformats.org/officeDocument/2006/custom-properties" xmlns:vt="http://schemas.openxmlformats.org/officeDocument/2006/docPropsVTypes"/>
</file>